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firstLine="0" w:firstLineChars="0"/>
        <w:jc w:val="left"/>
      </w:pPr>
      <w:bookmarkStart w:id="0" w:name="_GoBack"/>
      <w:bookmarkEnd w:id="0"/>
      <w:r>
        <w:rPr>
          <w:rFonts w:hint="eastAsia"/>
        </w:rPr>
        <w:t>附件1：</w:t>
      </w:r>
    </w:p>
    <w:p>
      <w:pPr>
        <w:ind w:left="480" w:firstLine="0" w:firstLineChars="0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会议议程</w:t>
      </w:r>
    </w:p>
    <w:p>
      <w:pPr>
        <w:ind w:left="480" w:firstLine="0" w:firstLineChars="0"/>
        <w:jc w:val="center"/>
        <w:rPr>
          <w:b/>
          <w:sz w:val="32"/>
          <w:szCs w:val="32"/>
        </w:rPr>
      </w:pPr>
    </w:p>
    <w:tbl>
      <w:tblPr>
        <w:tblStyle w:val="11"/>
        <w:tblW w:w="8278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52"/>
        <w:gridCol w:w="4896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</w:tcPr>
          <w:p>
            <w:pPr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时   间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  容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18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4月18日</w:t>
            </w: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14:00后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报到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  <w:jc w:val="center"/>
            </w:pP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4月19日</w:t>
            </w:r>
          </w:p>
        </w:tc>
        <w:tc>
          <w:tcPr>
            <w:tcW w:w="6348" w:type="dxa"/>
            <w:gridSpan w:val="2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28"/>
              </w:rPr>
              <w:t>8:30~9:30联盟成立大会准备会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8:30~8:40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介绍联盟筹备情况,理事会选举情况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8:40~8:50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补选理事单位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8:50~9:00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提名选举秘书长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9:00~9:20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介绍联盟主要工作任务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9:20~9:30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审议通过有关事项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6348" w:type="dxa"/>
            <w:gridSpan w:val="2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28"/>
              </w:rPr>
              <w:t>10:00~11:30联盟成立大会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10:00~10:20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理事长讲话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宣布</w:t>
            </w: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10:20~10:30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宣布联盟理事长、副理事长、理事及秘书长名单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10:30~10:50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工信部节能司领导讲话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10:50~11:10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中国机械工业联合会领导讲话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11:10~11:30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原机械工业部副部长陆燕荪讲话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11:30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午餐 午休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6348" w:type="dxa"/>
            <w:gridSpan w:val="2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28"/>
              </w:rPr>
              <w:t>14:00~16:30节能装备论坛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14:00~14:40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原中国机械工业联合会执行副会长蔡惟慈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机械工业运行情况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14:40~15:05</w:t>
            </w:r>
          </w:p>
        </w:tc>
        <w:tc>
          <w:tcPr>
            <w:tcW w:w="4896" w:type="dxa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工信部节能司领导 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绿色制造与绿色发展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15:05~15:30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财政部财科所领导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节能技术与装备财税政策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15:30~15:55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中国石油和化学工业联合会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石化“十三五”规划与装备需求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15:55~16:20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中国建筑材料联合会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建材行业绿色发展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16:20~16:45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联盟理事长讲话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  <w:vMerge w:val="continue"/>
          </w:tcPr>
          <w:p>
            <w:pPr>
              <w:ind w:firstLine="0" w:firstLineChars="0"/>
              <w:jc w:val="left"/>
            </w:pPr>
          </w:p>
        </w:tc>
        <w:tc>
          <w:tcPr>
            <w:tcW w:w="1452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16:50</w:t>
            </w:r>
          </w:p>
        </w:tc>
        <w:tc>
          <w:tcPr>
            <w:tcW w:w="4896" w:type="dxa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散会 晚餐</w:t>
            </w:r>
          </w:p>
        </w:tc>
        <w:tc>
          <w:tcPr>
            <w:tcW w:w="712" w:type="dxa"/>
          </w:tcPr>
          <w:p>
            <w:pPr>
              <w:ind w:firstLine="0" w:firstLineChars="0"/>
              <w:jc w:val="left"/>
            </w:pPr>
          </w:p>
        </w:tc>
      </w:tr>
    </w:tbl>
    <w:p>
      <w:pPr>
        <w:ind w:left="480" w:firstLine="0" w:firstLineChars="0"/>
        <w:jc w:val="left"/>
      </w:pPr>
    </w:p>
    <w:p>
      <w:pPr>
        <w:ind w:left="480" w:firstLine="0" w:firstLineChars="0"/>
        <w:rPr>
          <w:rFonts w:ascii="宋体" w:hAnsi="宋体"/>
          <w:sz w:val="22"/>
          <w:szCs w:val="30"/>
        </w:rPr>
      </w:pPr>
      <w:r>
        <w:rPr>
          <w:rFonts w:hint="eastAsia" w:ascii="宋体" w:hAnsi="宋体"/>
          <w:sz w:val="22"/>
          <w:szCs w:val="30"/>
        </w:rPr>
        <w:t>附件2：</w:t>
      </w:r>
    </w:p>
    <w:p>
      <w:pPr>
        <w:ind w:left="480"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参会回执表</w:t>
      </w:r>
    </w:p>
    <w:p>
      <w:pPr>
        <w:spacing w:line="0" w:lineRule="atLeast"/>
        <w:ind w:firstLine="480"/>
        <w:rPr>
          <w:rFonts w:ascii="宋体" w:hAnsi="宋体"/>
        </w:rPr>
      </w:pPr>
    </w:p>
    <w:tbl>
      <w:tblPr>
        <w:tblStyle w:val="10"/>
        <w:tblW w:w="8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3"/>
        <w:gridCol w:w="1560"/>
        <w:gridCol w:w="1769"/>
        <w:gridCol w:w="176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</w:rPr>
              <w:t>单位名称</w:t>
            </w:r>
          </w:p>
        </w:tc>
        <w:tc>
          <w:tcPr>
            <w:tcW w:w="7369" w:type="dxa"/>
            <w:gridSpan w:val="5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址</w:t>
            </w:r>
          </w:p>
        </w:tc>
        <w:tc>
          <w:tcPr>
            <w:tcW w:w="7369" w:type="dxa"/>
            <w:gridSpan w:val="5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7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813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职务或职称</w:t>
            </w:r>
          </w:p>
        </w:tc>
        <w:tc>
          <w:tcPr>
            <w:tcW w:w="1769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手机</w:t>
            </w:r>
          </w:p>
        </w:tc>
        <w:tc>
          <w:tcPr>
            <w:tcW w:w="1769" w:type="dxa"/>
            <w:tcBorders>
              <w:top w:val="single" w:color="auto" w:sz="18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邮箱</w:t>
            </w:r>
          </w:p>
        </w:tc>
        <w:tc>
          <w:tcPr>
            <w:tcW w:w="1458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7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252" w:firstLineChars="105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ind w:firstLine="252" w:firstLineChars="105"/>
              <w:rPr>
                <w:rFonts w:ascii="宋体" w:hAnsi="宋体"/>
              </w:rPr>
            </w:pPr>
          </w:p>
        </w:tc>
        <w:tc>
          <w:tcPr>
            <w:tcW w:w="1458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□单间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□合住标间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7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252" w:firstLineChars="105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ind w:firstLine="252" w:firstLineChars="105"/>
              <w:rPr>
                <w:rFonts w:ascii="宋体" w:hAnsi="宋体"/>
              </w:rPr>
            </w:pPr>
          </w:p>
        </w:tc>
        <w:tc>
          <w:tcPr>
            <w:tcW w:w="1458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□单间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□合住标间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□不住宿</w:t>
            </w:r>
          </w:p>
        </w:tc>
      </w:tr>
    </w:tbl>
    <w:p>
      <w:pPr>
        <w:spacing w:line="0" w:lineRule="atLeast"/>
        <w:ind w:firstLine="480"/>
        <w:jc w:val="center"/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宋体" w:hAnsi="宋体"/>
          <w:sz w:val="22"/>
          <w:szCs w:val="30"/>
        </w:rPr>
      </w:pPr>
      <w:r>
        <w:rPr>
          <w:rFonts w:ascii="宋体" w:hAnsi="宋体"/>
          <w:sz w:val="22"/>
          <w:szCs w:val="30"/>
        </w:rPr>
        <w:br w:type="page"/>
      </w:r>
    </w:p>
    <w:p>
      <w:pPr>
        <w:spacing w:line="0" w:lineRule="atLeast"/>
        <w:ind w:firstLine="0" w:firstLineChars="0"/>
        <w:rPr>
          <w:rFonts w:ascii="宋体" w:hAnsi="宋体"/>
          <w:sz w:val="22"/>
          <w:szCs w:val="30"/>
        </w:rPr>
      </w:pPr>
      <w:r>
        <w:rPr>
          <w:rFonts w:hint="eastAsia" w:ascii="宋体" w:hAnsi="宋体"/>
          <w:sz w:val="22"/>
          <w:szCs w:val="30"/>
        </w:rPr>
        <w:t>附件3：</w:t>
      </w:r>
    </w:p>
    <w:p>
      <w:pPr>
        <w:ind w:left="480"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北京天泰宾馆路线图</w:t>
      </w:r>
    </w:p>
    <w:p>
      <w:pPr>
        <w:spacing w:line="0" w:lineRule="atLeast"/>
        <w:ind w:firstLine="480"/>
        <w:jc w:val="left"/>
        <w:rPr>
          <w:rFonts w:hint="eastAsia"/>
        </w:rPr>
      </w:pPr>
    </w:p>
    <w:p>
      <w:pPr>
        <w:spacing w:line="0" w:lineRule="atLeast"/>
        <w:ind w:firstLine="480"/>
        <w:jc w:val="left"/>
      </w:pPr>
      <w:r>
        <w:rPr>
          <w:rFonts w:hint="eastAsia"/>
        </w:rPr>
        <w:t>地址：北京市西城区南礼士路头条1号</w:t>
      </w:r>
    </w:p>
    <w:p>
      <w:pPr>
        <w:spacing w:line="0" w:lineRule="atLeast"/>
        <w:ind w:firstLine="480"/>
        <w:jc w:val="left"/>
      </w:pPr>
      <w:r>
        <w:rPr>
          <w:rFonts w:hint="eastAsia"/>
        </w:rPr>
        <w:t>公交路线：1，10，52，99，843，937路公交车到“南礼士路”站下车，向北走200米到南礼士路头条，后向西100米处。</w:t>
      </w:r>
    </w:p>
    <w:p>
      <w:pPr>
        <w:spacing w:line="0" w:lineRule="atLeast"/>
        <w:ind w:firstLine="480"/>
        <w:jc w:val="left"/>
      </w:pPr>
      <w:r>
        <w:rPr>
          <w:rFonts w:hint="eastAsia"/>
        </w:rPr>
        <w:t>地铁路线：附近的地铁有1号线南礼士路站下，向北走200米到南礼士路头条，后向西100米处。</w:t>
      </w:r>
    </w:p>
    <w:p>
      <w:pPr>
        <w:spacing w:line="0" w:lineRule="atLeast"/>
        <w:ind w:firstLine="480"/>
        <w:jc w:val="center"/>
      </w:pPr>
      <w:r>
        <w:drawing>
          <wp:inline distT="0" distB="0" distL="114300" distR="114300">
            <wp:extent cx="4641215" cy="326898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0" w:leftChars="200" w:firstLine="0" w:firstLineChars="0"/>
        <w:jc w:val="left"/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5949"/>
    <w:rsid w:val="00065538"/>
    <w:rsid w:val="000B4548"/>
    <w:rsid w:val="001945F0"/>
    <w:rsid w:val="001C2AE9"/>
    <w:rsid w:val="00210C89"/>
    <w:rsid w:val="003838F7"/>
    <w:rsid w:val="00427CAA"/>
    <w:rsid w:val="004663A4"/>
    <w:rsid w:val="00624799"/>
    <w:rsid w:val="007B2BC4"/>
    <w:rsid w:val="007B52C6"/>
    <w:rsid w:val="007C3128"/>
    <w:rsid w:val="00943AFD"/>
    <w:rsid w:val="0094484A"/>
    <w:rsid w:val="00BC0F3B"/>
    <w:rsid w:val="00C466D2"/>
    <w:rsid w:val="00C67104"/>
    <w:rsid w:val="00D16343"/>
    <w:rsid w:val="00E540B6"/>
    <w:rsid w:val="00F8037C"/>
    <w:rsid w:val="00F971AE"/>
    <w:rsid w:val="00FA364E"/>
    <w:rsid w:val="05341963"/>
    <w:rsid w:val="06A53D68"/>
    <w:rsid w:val="14C96CC3"/>
    <w:rsid w:val="186949A6"/>
    <w:rsid w:val="1AD2723B"/>
    <w:rsid w:val="1E4D4CEA"/>
    <w:rsid w:val="25EE765F"/>
    <w:rsid w:val="295A6A32"/>
    <w:rsid w:val="2C025949"/>
    <w:rsid w:val="37D11E32"/>
    <w:rsid w:val="3E323537"/>
    <w:rsid w:val="4D8E66CA"/>
    <w:rsid w:val="58E67534"/>
    <w:rsid w:val="61821D45"/>
    <w:rsid w:val="687577A7"/>
    <w:rsid w:val="78CB59EF"/>
    <w:rsid w:val="7AC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Lines="50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afterLines="50"/>
      <w:outlineLvl w:val="1"/>
    </w:pPr>
    <w:rPr>
      <w:rFonts w:ascii="Arial" w:hAnsi="Arial"/>
      <w:sz w:val="2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8">
    <w:name w:val="FollowedHyperlink"/>
    <w:basedOn w:val="7"/>
    <w:uiPriority w:val="0"/>
    <w:rPr>
      <w:color w:val="000066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unhideWhenUsed/>
    <w:qFormat/>
    <w:uiPriority w:val="99"/>
    <w:pPr>
      <w:ind w:firstLine="420"/>
    </w:pPr>
  </w:style>
  <w:style w:type="character" w:customStyle="1" w:styleId="13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2017-03-30T08:48:00Z</dcterms:created>
  <dc:creator>pc2</dc:creator>
  <cp:lastModifiedBy>hugh</cp:lastModifiedBy>
  <cp:lastPrinted>2017-03-31T05:24:00Z</cp:lastPrinted>
  <dcterms:modified xsi:type="dcterms:W3CDTF">2017-04-13T01:04:58Z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